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08" w:rsidRPr="00853B08" w:rsidRDefault="00853B08" w:rsidP="00853B08">
      <w:pPr>
        <w:shd w:val="clear" w:color="auto" w:fill="FFFFFF"/>
        <w:spacing w:before="525" w:after="0" w:line="240" w:lineRule="auto"/>
        <w:outlineLvl w:val="0"/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</w:pPr>
      <w:r w:rsidRPr="00853B0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  <w:t>Кого из работников можно допустить к выполнению работ по очистке крыш зданий и сооружений от снега и льда</w:t>
      </w:r>
    </w:p>
    <w:p w:rsidR="00853B08" w:rsidRDefault="00853B08" w:rsidP="00853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53B08" w:rsidRPr="00853B08" w:rsidRDefault="00853B08" w:rsidP="00853B0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12529"/>
          <w:sz w:val="21"/>
          <w:szCs w:val="21"/>
          <w:lang w:eastAsia="ru-RU"/>
        </w:rPr>
      </w:pPr>
      <w:bookmarkStart w:id="0" w:name="_GoBack"/>
      <w:bookmarkEnd w:id="0"/>
      <w:r w:rsidRPr="00853B08">
        <w:rPr>
          <w:rFonts w:ascii="Arial" w:eastAsia="Times New Roman" w:hAnsi="Arial" w:cs="Arial"/>
          <w:i/>
          <w:iCs/>
          <w:color w:val="212529"/>
          <w:sz w:val="21"/>
          <w:szCs w:val="21"/>
          <w:lang w:eastAsia="ru-RU"/>
        </w:rPr>
        <w:t xml:space="preserve">Александр </w:t>
      </w:r>
      <w:proofErr w:type="spellStart"/>
      <w:r w:rsidRPr="00853B08">
        <w:rPr>
          <w:rFonts w:ascii="Arial" w:eastAsia="Times New Roman" w:hAnsi="Arial" w:cs="Arial"/>
          <w:i/>
          <w:iCs/>
          <w:color w:val="212529"/>
          <w:sz w:val="21"/>
          <w:szCs w:val="21"/>
          <w:lang w:eastAsia="ru-RU"/>
        </w:rPr>
        <w:t>Колтович</w:t>
      </w:r>
      <w:proofErr w:type="spellEnd"/>
      <w:r w:rsidRPr="00853B08">
        <w:rPr>
          <w:rFonts w:ascii="Arial" w:eastAsia="Times New Roman" w:hAnsi="Arial" w:cs="Arial"/>
          <w:i/>
          <w:iCs/>
          <w:color w:val="212529"/>
          <w:sz w:val="21"/>
          <w:szCs w:val="21"/>
          <w:lang w:eastAsia="ru-RU"/>
        </w:rPr>
        <w:t>, специалист по законодательству об охране труда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5" w:history="1">
        <w:r w:rsidRPr="00853B08">
          <w:rPr>
            <w:rFonts w:ascii="Times New Roman" w:eastAsia="Times New Roman" w:hAnsi="Times New Roman" w:cs="Times New Roman"/>
            <w:b/>
            <w:bCs/>
            <w:color w:val="003B80"/>
            <w:sz w:val="23"/>
            <w:szCs w:val="23"/>
            <w:lang w:eastAsia="ru-RU"/>
          </w:rPr>
          <w:t>Образец</w:t>
        </w:r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 заполнения наряда-допуска на производство работ по очистке снега с крыши здания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см. в рубрике «Полезный документ» на с. 23 журнала.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6" w:history="1">
        <w:r w:rsidRPr="00853B08">
          <w:rPr>
            <w:rFonts w:ascii="Times New Roman" w:eastAsia="Times New Roman" w:hAnsi="Times New Roman" w:cs="Times New Roman"/>
            <w:b/>
            <w:bCs/>
            <w:color w:val="003B80"/>
            <w:sz w:val="23"/>
            <w:szCs w:val="23"/>
            <w:lang w:eastAsia="ru-RU"/>
          </w:rPr>
          <w:t>Образец </w:t>
        </w:r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 xml:space="preserve">заполнения журнала учета выдачи нарядов </w:t>
        </w:r>
        <w:proofErr w:type="gramStart"/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-д</w:t>
        </w:r>
        <w:proofErr w:type="gramEnd"/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опусков на выполнение работ с повышенной опасностью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см. в рубрике «Полезный документ» на с. 26 журнала.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br/>
      </w: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О чем статья: </w:t>
      </w: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рассматриваются требования по охране труда при допуске к выполнению работ на крыше строения (здания, сооружения), которые относятся к работам на высоте и являются работами с повышенной опасностью.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Работодатель обязан обеспечивать безопасность при эксплуатации территории, капитальных строений (зданий, сооружений) (часть первая </w:t>
      </w:r>
      <w:hyperlink r:id="rId7" w:anchor="scrollInto#&amp;Article=17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ст. 17 Закона об охране труда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Крыши зданий и сооружений должны содержаться в исправном состоянии, в холодное время года регулярно очищаться от снега, а козырьки, карнизы – от образовавшегося обледенения (</w:t>
      </w:r>
      <w:hyperlink r:id="rId8" w:anchor="%D0%97%D0%B0%D0%B3_%D0%A3%D1%82%D0%B2_1&amp;point=63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63 Правил № 53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При обеспечении охраны труда при очистке крыш зданий и сооружений от снега и льда также необходимо руководствоваться Правилами № 52 и соблюдать требования Санитарных норм и правил № 114.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Перед допуском к работе </w:t>
      </w: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 очистке крыш зданий и сооружений от снега и льда необходимо: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1. Проверить от работника документы, подтверждающие его право на выполнение определенных видов работ.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К выполнению работ на высоте допускаются лица не моложе 18 лет, имеющие профессиональные навыки, прошедшие в установленном порядке обучение безопасным методам и приемам работ (</w:t>
      </w:r>
      <w:hyperlink r:id="rId9" w:anchor="%D0%97%D0%B0%D0%B3_%D0%A3%D1%82%D0%B2_1&amp;point=944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944 Правил № 52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 xml:space="preserve">Работы на высоте – работы, при которых работник находится на расстоянии менее 2 м от </w:t>
      </w:r>
      <w:proofErr w:type="spell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неогражденных</w:t>
      </w:r>
      <w:proofErr w:type="spell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перепадов по высоте 1,3 м и более (</w:t>
      </w:r>
      <w:proofErr w:type="spell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абз</w:t>
      </w:r>
      <w:proofErr w:type="spell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 23 </w:t>
      </w:r>
      <w:hyperlink r:id="rId10" w:anchor="%D0%97%D0%B0%D0%B3_%D0%A3%D1%82%D0%B2_1&amp;point=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1 Правил № 52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Очистка от снега и льда дворовых территорий, крыш, навесов, водостоков и т.д. входит в характеристику работ рабочего по комплексному обслуживанию и ремонту зданий и сооружений.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Если у работника нет документа, подтверждающего право выполнять работы по профессии, то сразу после приема на работу (без допуска к выполнению работ по профессии и присвоения разряда) работника необходимо направить на обучение.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 профессии «рабочий по комплексному обслуживанию и ремонту зданий и сооружений» возможно обучение на производстве (см. </w:t>
      </w:r>
      <w:hyperlink r:id="rId11" w:anchor="%D0%9F%D1%80%D0%B8%D0%BB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Перечень профессий № 7/14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2. Направить соискателя на обязательный предварительный медицинский осмотр.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Наниматель обязан обеспечить прохождение работающими, занятыми на работах с вредными и (или) опасными условиями труда или на работах, где в соответствии с законодательством есть необходимость в профессиональном отборе, обязательных предварительных медицинских осмотров (при поступлении на работу) и периодических медицинских осмотров, а также внеочередных медицинских осмотров при ухудшении состояния здоровья в порядке, установленном законодательством (</w:t>
      </w:r>
      <w:hyperlink r:id="rId12" w:anchor="scrollInto#&amp;Article=27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ст. 27 Закона об охране труда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  <w:proofErr w:type="gramEnd"/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К выполнению работ на высоте допускаются лица, прошедшие медицинский осмотр без противопоказаний к выполнению работ на высоте (предварительный при приеме на работу, в дальнейшем периодический один раз в 2 года).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При выполнении работ на высоте работники проходят обязательные медосмотры на основании </w:t>
      </w:r>
      <w:hyperlink r:id="rId13" w:anchor="%D0%9F%D1%80%D0%B8%D0%BB_3_%D0%A3%D1%82%D0%B2_1&amp;point=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1 приложения 3 к Инструкции № 74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 результатам предварительных медосмотров работающих выдается медицинская справка о состоянии здоровья, подтверждающая годность (негодность) работающего к работе (</w:t>
      </w:r>
      <w:hyperlink r:id="rId14" w:anchor="%D0%97%D0%B0%D0%B3_%D0%A3%D1%82%D0%B2_1&amp;point=2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21 Инструкции № 74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3. Разработать и утвердить инструкцию по охране труда по профессии или по выполняемым работам.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>В обязанности нанимателя входит принятие локальных правовых актов, содержащих требования по охране труда (</w:t>
      </w:r>
      <w:hyperlink r:id="rId15" w:anchor="scrollInto#&amp;Article=17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ст. 17 Закона об охране труда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К таким локальным правовым актам относятся и инструкции по охране труда.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Порядок подготовки и принятия работодателями локальных правовых актов по охране труда в виде инструкций по охране труда для профессий и отдельных видов работ (услуг) установлен Инструкцией № 176.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Наниматель разрабатывает и принимает инструкции по охране труда для профессий рабочих и (или) отдельных видов работ (услуг), выполнение которых осуществляется в организации работниками различных профессий рабочих и должностей служащих: погрузочно-разгрузочные работы, работы с электромеханическим инструментом, работы на высоте, земляные работы и иные (</w:t>
      </w:r>
      <w:hyperlink r:id="rId16" w:anchor="scrollInto#&amp;Point=4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4 Инструкции № 176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4. Провести инструктажи по охране труда и пожарной безопасности.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При приеме на работу наниматель обязан провести вводный инструктаж по охране труда (п. 4 части первой </w:t>
      </w:r>
      <w:hyperlink r:id="rId17" w:anchor="scrollInto#&amp;Article=54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ст. 54 ТК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 При этом надо руководствоваться Инструкцией № 175.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 работниками, принятыми на работу, необходимо провести вводный и первичный на рабочем месте инструктажи по охране труда.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Допускается совмещать проведение вводного инструктажа с проведением противопожарного инструктажа при условии, что рассмотрение вопросов программы вводного противопожарного инструктажа согласно приложению 1 к Инструкции № 82 предусмотрено программой вводного инструктажа по охране труда в полном объеме.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В дальнейшем для работников проводятся повторные, а в случае необходимости – и другие виды инструктажей по охране труда.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Целевой инструктаж проводится при производстве работ, на которые оформляется наряд-допуск на выполнение работ с повышенной опасностью, согласно </w:t>
      </w:r>
      <w:hyperlink r:id="rId18" w:anchor="%D0%97%D0%B0%D0%B3_%D0%A3%D1%82%D0%B2_1&amp;point=29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29 Инструкции № 175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Порядок проведения инструктажей по охране труда установлен </w:t>
      </w:r>
      <w:hyperlink r:id="rId19" w:anchor="%D0%97%D0%B0%D0%B3_%D0%A3%D1%82%D0%B2_1&amp;chapter=3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гл. 3 Инструкции № 175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Проведение инструктажей по охране труда регистрируется в журналах, форма которых приводится в приложениях к постановлению № 175.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lastRenderedPageBreak/>
        <w:t>5. Провести стажировку и проверку знаний по вопросам охраны труда.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Работающие по профессии рабочих, принятые или переведенные на работы с повышенной опасностью, опасные производственные объекты и (или) потенциально опасные объекты либо имеющие перерыв в выполнении указанных работ более одного года, к самостоятельной работе допускаются после прохождения стажировки по вопросам охраны труда и последующей первичной проверки знаний по вопросам охраны труда (</w:t>
      </w:r>
      <w:hyperlink r:id="rId20" w:anchor="%D0%97%D0%B0%D0%B3_%D0%A3%D1%82%D0%B2_1&amp;point=36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36 Инструкции № 175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  <w:proofErr w:type="gramEnd"/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Перечень профессий рабочих, которые должны проходить проверку знаний по вопросам охраны труда, устанавливается руководителем организации на основании требований соответствующих технических нормативных правовых актов и с учетом типового перечня работ с повышенной опасностью, приведенного в </w:t>
      </w:r>
      <w:hyperlink r:id="rId21" w:anchor="%D0%9F%D1%80%D0%B8%D0%BB_7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приложении 7 к постановлению № 175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(далее – Типовой перечень).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Согласно п. 47 Типового перечня к работам с повышенной опасностью относятся кровельные и другие работы на крыше капитального строения (здания, сооружения).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Стажировка и проверка знаний работающих по вопросам охраны труда проводятся в порядке, установленном </w:t>
      </w:r>
      <w:hyperlink r:id="rId22" w:anchor="%D0%97%D0%B0%D0%B3_%D0%A3%D1%82%D0%B2_1&amp;chapter=4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гл. 4 Инструкции № 175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6. Обеспечить работника необходимыми средствами индивидуальной защиты.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Работающие, выполняющие работы по техническому обслуживанию зданий по трудовым договорам (далее – работники), обеспечиваются средствами индивидуальной защиты (</w:t>
      </w:r>
      <w:hyperlink r:id="rId23" w:anchor="%D0%97%D0%B0%D0%B3_%D0%A3%D1%82%D0%B2_1&amp;point=65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65 Правил № 52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Обязанность обеспечить работников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СИЗ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при выполнении работ на высоте, установлена </w:t>
      </w:r>
      <w:proofErr w:type="spell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fldChar w:fldCharType="begin"/>
      </w: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instrText xml:space="preserve"> HYPERLINK "http://npa.espot.by/documents/W20106199" \l "%D0%97%D0%B0%D0%B3_%D0%A3%D1%82%D0%B2_1&amp;point=690" \t "_blank" </w:instrText>
      </w: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fldChar w:fldCharType="separate"/>
      </w:r>
      <w:r w:rsidRPr="00853B08">
        <w:rPr>
          <w:rFonts w:ascii="Times New Roman" w:eastAsia="Times New Roman" w:hAnsi="Times New Roman" w:cs="Times New Roman"/>
          <w:color w:val="003B80"/>
          <w:sz w:val="23"/>
          <w:szCs w:val="23"/>
          <w:lang w:eastAsia="ru-RU"/>
        </w:rPr>
        <w:t>пп</w:t>
      </w:r>
      <w:proofErr w:type="spellEnd"/>
      <w:r w:rsidRPr="00853B08">
        <w:rPr>
          <w:rFonts w:ascii="Times New Roman" w:eastAsia="Times New Roman" w:hAnsi="Times New Roman" w:cs="Times New Roman"/>
          <w:color w:val="003B80"/>
          <w:sz w:val="23"/>
          <w:szCs w:val="23"/>
          <w:lang w:eastAsia="ru-RU"/>
        </w:rPr>
        <w:t>. 690</w:t>
      </w: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fldChar w:fldCharType="end"/>
      </w: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и </w:t>
      </w:r>
      <w:hyperlink r:id="rId24" w:anchor="%D0%97%D0%B0%D0%B3_%D0%A3%D1%82%D0%B2_1&amp;point=693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693 Правил № 52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Порядок обеспечения работников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СИЗ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определен в Инструкции № 209.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СИЗ,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которые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наниматель обязан выдать рабочему по комплексному обслуживанию и ремонту зданий, в </w:t>
      </w:r>
      <w:proofErr w:type="spell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т.ч</w:t>
      </w:r>
      <w:proofErr w:type="spell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 при выполнении работ на высоте, установлен п. 106 Типовых отраслевых норм № 96.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spellStart"/>
      <w:r w:rsidRPr="00853B08">
        <w:rPr>
          <w:rFonts w:ascii="Times New Roman" w:eastAsia="Times New Roman" w:hAnsi="Times New Roman" w:cs="Times New Roman"/>
          <w:b/>
          <w:bCs/>
          <w:i/>
          <w:iCs/>
          <w:color w:val="212529"/>
          <w:sz w:val="23"/>
          <w:szCs w:val="23"/>
          <w:lang w:eastAsia="ru-RU"/>
        </w:rPr>
        <w:t>Справочно</w:t>
      </w:r>
      <w:proofErr w:type="spellEnd"/>
      <w:r w:rsidRPr="00853B08">
        <w:rPr>
          <w:rFonts w:ascii="Times New Roman" w:eastAsia="Times New Roman" w:hAnsi="Times New Roman" w:cs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>перечень средств индивидуальной защиты, непосредственно обеспечивающих безопасность труда, установлен постановлением Минтруда и соцзащиты Республики Беларусь от 15.10.2010 № 145.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853B08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7. Оформить допуск к самостоятельной работе.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853B08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Допуск работников к самостоятельной работе после прохождения первичной проверки знаний по вопросам охраны труда осуществляется руководителем организации (структурного подразделения) и оформляется приказом (распоряжением) (</w:t>
      </w:r>
      <w:hyperlink r:id="rId25" w:anchor="%D0%97%D0%B0%D0%B3_%D0%A3%D1%82%D0%B2_1&amp;point=50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50 Инструкции № 175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Допуск работников к выполнению работ на высоте должен производиться с учетом квалификации, стажа работы, их психофизиологического состояния и других факторов (</w:t>
      </w:r>
      <w:hyperlink r:id="rId26" w:anchor="%D0%97%D0%B0%D0%B3_%D0%A3%D1%82%D0%B2_1&amp;point=948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948 Правил № 52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Работник, приступающий к выполнению работы, должен быть ознакомлен (</w:t>
      </w:r>
      <w:hyperlink r:id="rId27" w:anchor="%D0%97%D0%B0%D0%B3_%D0%A3%D1%82%D0%B2_1&amp;point=95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951 Правил № 52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):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с условиями и состоянием охраны труда на рабочем месте, существующим риском повреждения здоровья, правилами и приемами безопасного выполнения работы;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состоянием производственного травматизма и профессиональной заболеваемости, мерами по защите от воздействия опасных и вредных производственных факторов;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наличием и состоянием средств коллективной и индивидуальной защиты;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правилами внутреннего трудового распорядка и режимом работы организации.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8. Установить режим работы, исключающий причинение вреда жизни и здоровью.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Работникам, выполняющим работы на открытом воздухе в сильный мороз и сильную жару или в закрытых необогреваемых помещениях, в холодный период года устанавливается режим работы, исключающий причинение вреда их жизни и здоровью.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Нанимателю необходимо соблюдать требования </w:t>
      </w:r>
      <w:hyperlink r:id="rId28" w:anchor="scrollInto#&amp;Article=135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ст. 135 ТК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и </w:t>
      </w:r>
      <w:hyperlink r:id="rId29" w:anchor="scrollInto#&amp;Article=29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ст. 29 Закона об охране труда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и установить для работников дополнительные специальные перерывы (перерывы для обогревания, перерывы для отдыха на погрузочно-разгрузочных и других работах).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 xml:space="preserve">Дополнительные специальные перерывы предоставляются наряду (а не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вместо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)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перерывом для отдыха и питания в течение рабочего дня и включаются в рабочее время.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Виды работ, при выполнении которых устанавливаются дополнительные специальные перерывы, их продолжительность и порядок предоставления определяются нанимателем и фиксируются в правилах внутреннего трудового распорядка и (или) коллективном договоре.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spellStart"/>
      <w:r w:rsidRPr="00853B08">
        <w:rPr>
          <w:rFonts w:ascii="Times New Roman" w:eastAsia="Times New Roman" w:hAnsi="Times New Roman" w:cs="Times New Roman"/>
          <w:b/>
          <w:bCs/>
          <w:i/>
          <w:iCs/>
          <w:color w:val="212529"/>
          <w:sz w:val="23"/>
          <w:szCs w:val="23"/>
          <w:lang w:eastAsia="ru-RU"/>
        </w:rPr>
        <w:t>Справочно</w:t>
      </w:r>
      <w:proofErr w:type="spellEnd"/>
      <w:r w:rsidRPr="00853B08">
        <w:rPr>
          <w:rFonts w:ascii="Times New Roman" w:eastAsia="Times New Roman" w:hAnsi="Times New Roman" w:cs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наименования аптечек и перечни вложений установлены постановлением № 178.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br/>
      </w: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9. Обеспечить производственные участки аптечками первой помощи.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Производственные и иные структурные подразделения организации оснащаются аптечками первой помощи универсальными с набором необходимых лекарственных средств и изделий медицинского назначения (</w:t>
      </w:r>
      <w:hyperlink r:id="rId30" w:anchor="%D0%97%D0%B0%D0%B3_%D0%A3%D1%82%D0%B2_1&amp;point=77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77 Правил № 53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spellStart"/>
      <w:r w:rsidRPr="00853B08">
        <w:rPr>
          <w:rFonts w:ascii="Times New Roman" w:eastAsia="Times New Roman" w:hAnsi="Times New Roman" w:cs="Times New Roman"/>
          <w:b/>
          <w:bCs/>
          <w:i/>
          <w:iCs/>
          <w:color w:val="212529"/>
          <w:sz w:val="23"/>
          <w:szCs w:val="23"/>
          <w:lang w:eastAsia="ru-RU"/>
        </w:rPr>
        <w:t>Справочно</w:t>
      </w:r>
      <w:proofErr w:type="spellEnd"/>
      <w:r w:rsidRPr="00853B08">
        <w:rPr>
          <w:rFonts w:ascii="Times New Roman" w:eastAsia="Times New Roman" w:hAnsi="Times New Roman" w:cs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перечень вложений, входящих в аптечку первой помощи универсальную, приведен в приложении 2 к постановлению № 178.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853B08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10. Выдать наряд-допуск на производство работ.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В организации, исходя из особенностей выполнения строительных работ, составляется перечень работ с повышенной опасностью, выполняемых по наряду-допуску, требующих осуществления специальных организационных и технических мероприятий, а также постоянного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контроля за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их производством (</w:t>
      </w:r>
      <w:hyperlink r:id="rId31" w:anchor="%D0%97%D0%B0%D0%B3_%D0%A3%D1%82%D0%B2_1&amp;point=92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92 Правил № 53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Работы с повышенной опасностью, требующие осуществления специальных организационных, технических мероприятий и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контроля за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их выполнением, выполняются по наряду-допуску на выполнение работ с повышенной опасностью (далее – наряд-допуск) (документам), предусмотренному (предусмотренным) законодательством.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Перечень работ с повышенной опасностью, выполняемых по наряду-допуску, утверждается руководителем организации.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>Работы на крыше здания должны выполняться по наряду-допуску на производство работ повышенной опасности и под руководством лица, ответственного за безопасное проведение этих работ.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Наряд-допуск заполняется по форме согласно </w:t>
      </w:r>
      <w:hyperlink r:id="rId32" w:anchor="%D0%9F%D1%80%D0%B8%D0%BB_2_%D0%A3%D1%82%D0%B2_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приложению 2 к Правилам № 52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Перед допуском к работе ответственный руководитель работ знакомит работников с мероприятиями по безопасному производству работ, проводит целевой инструктаж с записью в наряде-допуске (</w:t>
      </w:r>
      <w:hyperlink r:id="rId33" w:anchor="%D0%97%D0%B0%D0%B3_%D0%A3%D1%82%D0%B2_1&amp;point=29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29 Инструкции № 175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 xml:space="preserve">11. Обеспечить прохождение </w:t>
      </w:r>
      <w:proofErr w:type="spellStart"/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предсменного</w:t>
      </w:r>
      <w:proofErr w:type="spellEnd"/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 xml:space="preserve"> медицинского осмотра либо освидетельствования.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Постановлением № 116/119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утверждены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: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– Инструкция о порядке проведения </w:t>
      </w:r>
      <w:proofErr w:type="spell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предсменного</w:t>
      </w:r>
      <w:proofErr w:type="spell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(перед началом работы, смены) медицинского осмотра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работающих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;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– Инструкция о порядке проведения освидетельствования на предмет нахождения в состоянии алкогольного, наркотического или токсического опьянения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работающих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Перечень работ (профессий рабочих), при выполнении которых требуются </w:t>
      </w:r>
      <w:proofErr w:type="spell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предсменный</w:t>
      </w:r>
      <w:proofErr w:type="spell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(перед началом работы, смены) медицинский осмотр либо освидетельствование работников на предмет нахождения в состоянии алкогольного опьянения, состоянии, вызванном потреблением наркотических средств, психотропных веществ, их аналогов, токсических веществ, приведен в приложении к постановлению № 116/119 (далее – Перечень № 116/119).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Согласно подп. 1.3 п. 1 Перечня № 116/119 к таким работам относятся кровельные и другие работы на крыше здания.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12. Оградить опасные зоны.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Места прохода людей в пределах опасных зон должны ограждаться (</w:t>
      </w:r>
      <w:hyperlink r:id="rId34" w:anchor="%D0%97%D0%B0%D0%B3_%D0%A3%D1%82%D0%B2_1&amp;point=64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64 Правил № 53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13. Работы необходимо выполнять только при благоприятных погодных условиях.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>Работы на высоте на открытом воздухе, выполняемые непосредственно с конструкций, перекрытий, оборудования и т.п., при изменении погодных условий с ухудшением видимости, при грозе, гололеде, сильном ветре, снегопаде прекращаются, и работники выводятся с рабочего места (</w:t>
      </w:r>
      <w:hyperlink r:id="rId35" w:anchor="%D0%97%D0%B0%D0%B3_%D0%A3%D1%82%D0%B2_1&amp;point=34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п. 34 Правил № 52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i/>
          <w:iCs/>
          <w:color w:val="212529"/>
          <w:sz w:val="23"/>
          <w:szCs w:val="23"/>
          <w:lang w:eastAsia="ru-RU"/>
        </w:rPr>
        <w:t>Внимание! </w:t>
      </w: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Невыполнение перечисленных требований при допуске работника к выполнению работ будет являться нарушением требований по охране труда.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Нарушение должностным или иным уполномоченным лицом работодателя или индивидуальным предпринимателем требований по охране труда является административным правонарушением, ответственность за которое предусмотрена </w:t>
      </w:r>
      <w:hyperlink r:id="rId36" w:anchor="scrollInto#&amp;Article=10.13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ст. 10.13 КоАП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в виде штрафа в размере от 5 до 40 базовых величин (от 225 руб. до 1 800 руб.).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Документы: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37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Закон Республики Беларусь от 23.06.2008 № 356-З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«Об охране труда» (Закон об охране труда).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38" w:anchor="%D0%97%D0%B0%D0%B3_%D0%A3%D1%82%D0%B2_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Правила по охране труда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утвержденные постановлением Минтруда и соцзащиты Республики Беларусь от 01.07.2021 № 53 (Правила № 53).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39" w:anchor="%D0%97%D0%B0%D0%B3_%D0%A3%D1%82%D0%B2_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Правила охраны труда при работе на высоте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утвержденные постановлением Минтруда Республики Беларусь от 28.04.2001 № 52 (Правила № 52).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0" w:anchor="%D0%97%D0%B0%D0%B3_%D0%A3%D1%82%D0%B2_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Санитарно-эпидемиологические требования к условиям труда работающих, содержанию и эксплуатации производственных объектов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утвержденные постановлением Минздрава Республики Беларусь от 19.07.2023 № 114 (Санитарные нормы и правила № 114).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Трудовой кодекс Республики Беларусь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(ТК).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2" w:anchor="%D0%97%D0%B0%D0%B3_%D0%9F%D1%80%D0%B8%D0%BB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Единый тарифно-квалификационный справочник работ и профессий рабочих (ЕТКС)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утвержденный постановлением Минтруда и соцзащиты Республики Беларусь от 29.09.2003 № 110 (ЕТКС).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3" w:anchor="%D0%9F%D1%80%D0%B8%D0%BB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Перечень профессий для подготовки рабочих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утвержденный постановлением Минобразования и Минтруда и соцзащиты Республики Беларусь от 30.01.2018 № 7/14 (Перечень профессий № 7/14).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4" w:anchor="%D0%97%D0%B0%D0%B3_%D0%A3%D1%82%D0%B2_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Инструкция о порядке проведения обязательных и внеочередных медицинских осмотров работающих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утвержденная постановлением Минздрава Республики Беларусь от 29.07.2019 № 74 (Инструкция № 74).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5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Инструкция о порядке разработки и принятия работодателями локальных правовых актов, содержащих требования по охране труда, в виде инструкций по охране труда для профессий рабочих и (или) отдельных видов работ (услуг)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утвержденная постановлением Минтруда и соцзащиты Республики Беларусь от 28.11.2008 № 176 (Инструкция № 176).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6" w:anchor="%D0%97%D0%B0%D0%B3_%D0%A3%D1%82%D0%B2_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 xml:space="preserve">Инструкция о порядке обучения, стажировки, инструктажа и проверки </w:t>
        </w:r>
        <w:proofErr w:type="gramStart"/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знаний</w:t>
        </w:r>
        <w:proofErr w:type="gramEnd"/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 xml:space="preserve"> работающих по вопросам охраны труда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утвержденная постановлением Минтруда и соцзащиты Республики Беларусь от 28.11.2008 № 175 (Инструкция № 175, постановление № 175).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7" w:anchor="%D0%97%D0%B0%D0%B3_%D0%A3%D1%82%D0%B2_2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Инструкция о порядке подготовки работников по вопросам пожарной безопасности и проверки их знаний в данной сфере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утвержденная постановлением МЧС Республики Беларусь от 21.12.2021 № 82 (Инструкция № 82).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8" w:anchor="%D0%97%D0%B0%D0%B3_%D0%A3%D1%82%D0%B2_1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Инструкция о порядке обеспечения работников средствами индивидуальной защиты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, утвержденная постановлением Минтруда и соцзащиты Республики Беларусь от 30.12.2008 № 209 (Инструкция № 209).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Типовые отраслевые нормы бесплатной выдачи средств индивидуальной защиты работникам жилищно-коммунального хозяйства, утвержденные постановлением Минтруда и соцзащиты Республики Беларусь от 22.08.2003 № 96 (Типовые отраслевые нормы № 96).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49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Постановление Минздрава Республики Беларусь от 23.11.2023 № 178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«Об установлении перечней аптечек» (постановление № 178).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Постановление Минтруда и соцзащиты и Минздрава Республики Беларусь от 02.12.2013 № 116/119 «О некоторых вопросах проведения </w:t>
      </w:r>
      <w:proofErr w:type="spell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предсменного</w:t>
      </w:r>
      <w:proofErr w:type="spell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(перед началом работы, смены) медицинского осмотра и </w:t>
      </w:r>
      <w:proofErr w:type="gramStart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освидетельствования</w:t>
      </w:r>
      <w:proofErr w:type="gramEnd"/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работающих на предмет нахождения в состоянии алкогольного, наркотического или токсического опьянения» (постановление № 116/119).</w:t>
      </w:r>
    </w:p>
    <w:p w:rsidR="00853B08" w:rsidRPr="00853B08" w:rsidRDefault="00853B08" w:rsidP="00853B08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hyperlink r:id="rId50" w:tgtFrame="_blank" w:history="1">
        <w:r w:rsidRPr="00853B08">
          <w:rPr>
            <w:rFonts w:ascii="Times New Roman" w:eastAsia="Times New Roman" w:hAnsi="Times New Roman" w:cs="Times New Roman"/>
            <w:color w:val="003B80"/>
            <w:sz w:val="23"/>
            <w:szCs w:val="23"/>
            <w:lang w:eastAsia="ru-RU"/>
          </w:rPr>
          <w:t>Кодекс Республики Беларусь об административных правонарушениях</w:t>
        </w:r>
      </w:hyperlink>
      <w:r w:rsidRPr="00853B08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(КоАП).</w:t>
      </w:r>
    </w:p>
    <w:p w:rsidR="000551F0" w:rsidRDefault="000551F0"/>
    <w:sectPr w:rsidR="0005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08"/>
    <w:rsid w:val="000551F0"/>
    <w:rsid w:val="0085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">
    <w:name w:val="title"/>
    <w:basedOn w:val="a0"/>
    <w:rsid w:val="00853B08"/>
  </w:style>
  <w:style w:type="character" w:styleId="a3">
    <w:name w:val="Hyperlink"/>
    <w:basedOn w:val="a0"/>
    <w:uiPriority w:val="99"/>
    <w:semiHidden/>
    <w:unhideWhenUsed/>
    <w:rsid w:val="00853B08"/>
    <w:rPr>
      <w:color w:val="0000FF"/>
      <w:u w:val="single"/>
    </w:rPr>
  </w:style>
  <w:style w:type="character" w:customStyle="1" w:styleId="book-article-text">
    <w:name w:val="book-article-text"/>
    <w:basedOn w:val="a0"/>
    <w:rsid w:val="00853B08"/>
  </w:style>
  <w:style w:type="character" w:styleId="a4">
    <w:name w:val="Strong"/>
    <w:basedOn w:val="a0"/>
    <w:uiPriority w:val="22"/>
    <w:qFormat/>
    <w:rsid w:val="00853B08"/>
    <w:rPr>
      <w:b/>
      <w:bCs/>
    </w:rPr>
  </w:style>
  <w:style w:type="paragraph" w:styleId="a5">
    <w:name w:val="Normal (Web)"/>
    <w:basedOn w:val="a"/>
    <w:uiPriority w:val="99"/>
    <w:semiHidden/>
    <w:unhideWhenUsed/>
    <w:rsid w:val="0085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">
    <w:name w:val="title"/>
    <w:basedOn w:val="a0"/>
    <w:rsid w:val="00853B08"/>
  </w:style>
  <w:style w:type="character" w:styleId="a3">
    <w:name w:val="Hyperlink"/>
    <w:basedOn w:val="a0"/>
    <w:uiPriority w:val="99"/>
    <w:semiHidden/>
    <w:unhideWhenUsed/>
    <w:rsid w:val="00853B08"/>
    <w:rPr>
      <w:color w:val="0000FF"/>
      <w:u w:val="single"/>
    </w:rPr>
  </w:style>
  <w:style w:type="character" w:customStyle="1" w:styleId="book-article-text">
    <w:name w:val="book-article-text"/>
    <w:basedOn w:val="a0"/>
    <w:rsid w:val="00853B08"/>
  </w:style>
  <w:style w:type="character" w:styleId="a4">
    <w:name w:val="Strong"/>
    <w:basedOn w:val="a0"/>
    <w:uiPriority w:val="22"/>
    <w:qFormat/>
    <w:rsid w:val="00853B08"/>
    <w:rPr>
      <w:b/>
      <w:bCs/>
    </w:rPr>
  </w:style>
  <w:style w:type="paragraph" w:styleId="a5">
    <w:name w:val="Normal (Web)"/>
    <w:basedOn w:val="a"/>
    <w:uiPriority w:val="99"/>
    <w:semiHidden/>
    <w:unhideWhenUsed/>
    <w:rsid w:val="0085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547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pa.espot.by/documents/W21934675" TargetMode="External"/><Relationship Id="rId18" Type="http://schemas.openxmlformats.org/officeDocument/2006/relationships/hyperlink" Target="http://npa.espot.by/documents/W20820209" TargetMode="External"/><Relationship Id="rId26" Type="http://schemas.openxmlformats.org/officeDocument/2006/relationships/hyperlink" Target="http://npa.espot.by/documents/W20106199" TargetMode="External"/><Relationship Id="rId39" Type="http://schemas.openxmlformats.org/officeDocument/2006/relationships/hyperlink" Target="https://npa.espot.by/documents/W20106199" TargetMode="External"/><Relationship Id="rId21" Type="http://schemas.openxmlformats.org/officeDocument/2006/relationships/hyperlink" Target="https://npa.espot.by/documents/W20820209" TargetMode="External"/><Relationship Id="rId34" Type="http://schemas.openxmlformats.org/officeDocument/2006/relationships/hyperlink" Target="http://npa.espot.by/documents/W22137152p" TargetMode="External"/><Relationship Id="rId42" Type="http://schemas.openxmlformats.org/officeDocument/2006/relationships/hyperlink" Target="https://npa.espot.by/documents/W203p0237" TargetMode="External"/><Relationship Id="rId47" Type="http://schemas.openxmlformats.org/officeDocument/2006/relationships/hyperlink" Target="https://npa.espot.by/documents/W22237750" TargetMode="External"/><Relationship Id="rId50" Type="http://schemas.openxmlformats.org/officeDocument/2006/relationships/hyperlink" Target="https://npa.espot.by/documents/hk2100091" TargetMode="External"/><Relationship Id="rId7" Type="http://schemas.openxmlformats.org/officeDocument/2006/relationships/hyperlink" Target="http://npa.espot.by/documents/H108003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pa.espot.by/documents/W20920258" TargetMode="External"/><Relationship Id="rId29" Type="http://schemas.openxmlformats.org/officeDocument/2006/relationships/hyperlink" Target="http://npa.espot.by/documents/H10800356" TargetMode="External"/><Relationship Id="rId11" Type="http://schemas.openxmlformats.org/officeDocument/2006/relationships/hyperlink" Target="http://npa.espot.by/documents/W21832834" TargetMode="External"/><Relationship Id="rId24" Type="http://schemas.openxmlformats.org/officeDocument/2006/relationships/hyperlink" Target="http://npa.espot.by/documents/W20106199" TargetMode="External"/><Relationship Id="rId32" Type="http://schemas.openxmlformats.org/officeDocument/2006/relationships/hyperlink" Target="https://npa.espot.by/documents/W20106199" TargetMode="External"/><Relationship Id="rId37" Type="http://schemas.openxmlformats.org/officeDocument/2006/relationships/hyperlink" Target="https://npa.espot.by/documents/H10800356" TargetMode="External"/><Relationship Id="rId40" Type="http://schemas.openxmlformats.org/officeDocument/2006/relationships/hyperlink" Target="https://npa.espot.by/documents/W22340636p" TargetMode="External"/><Relationship Id="rId45" Type="http://schemas.openxmlformats.org/officeDocument/2006/relationships/hyperlink" Target="https://npa.espot.by/documents/W20920258" TargetMode="External"/><Relationship Id="rId5" Type="http://schemas.openxmlformats.org/officeDocument/2006/relationships/hyperlink" Target="https://www.espot.by/izdaniya/espot/obrazec-zapolneniya-naryada-dopuska-na-p-1-1" TargetMode="External"/><Relationship Id="rId15" Type="http://schemas.openxmlformats.org/officeDocument/2006/relationships/hyperlink" Target="http://npa.espot.by/documents/H10800356" TargetMode="External"/><Relationship Id="rId23" Type="http://schemas.openxmlformats.org/officeDocument/2006/relationships/hyperlink" Target="http://npa.espot.by/documents/W20106199" TargetMode="External"/><Relationship Id="rId28" Type="http://schemas.openxmlformats.org/officeDocument/2006/relationships/hyperlink" Target="http://npa.espot.by/documents/hk9900296" TargetMode="External"/><Relationship Id="rId36" Type="http://schemas.openxmlformats.org/officeDocument/2006/relationships/hyperlink" Target="https://npa.espot.by/documents/hk2100091" TargetMode="External"/><Relationship Id="rId49" Type="http://schemas.openxmlformats.org/officeDocument/2006/relationships/hyperlink" Target="https://npa.espot.by/documents/W22440941" TargetMode="External"/><Relationship Id="rId10" Type="http://schemas.openxmlformats.org/officeDocument/2006/relationships/hyperlink" Target="http://npa.espot.by/documents/W20106199" TargetMode="External"/><Relationship Id="rId19" Type="http://schemas.openxmlformats.org/officeDocument/2006/relationships/hyperlink" Target="http://npa.espot.by/documents/W20820209" TargetMode="External"/><Relationship Id="rId31" Type="http://schemas.openxmlformats.org/officeDocument/2006/relationships/hyperlink" Target="http://npa.espot.by/documents/W22137152p" TargetMode="External"/><Relationship Id="rId44" Type="http://schemas.openxmlformats.org/officeDocument/2006/relationships/hyperlink" Target="https://npa.espot.by/documents/W2193467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pa.espot.by/documents/W20106199" TargetMode="External"/><Relationship Id="rId14" Type="http://schemas.openxmlformats.org/officeDocument/2006/relationships/hyperlink" Target="http://npa.espot.by/documents/W21934675" TargetMode="External"/><Relationship Id="rId22" Type="http://schemas.openxmlformats.org/officeDocument/2006/relationships/hyperlink" Target="http://npa.espot.by/documents/W20820209" TargetMode="External"/><Relationship Id="rId27" Type="http://schemas.openxmlformats.org/officeDocument/2006/relationships/hyperlink" Target="http://npa.espot.by/documents/W20106199" TargetMode="External"/><Relationship Id="rId30" Type="http://schemas.openxmlformats.org/officeDocument/2006/relationships/hyperlink" Target="http://npa.espot.by/documents/W22137152p" TargetMode="External"/><Relationship Id="rId35" Type="http://schemas.openxmlformats.org/officeDocument/2006/relationships/hyperlink" Target="http://npa.espot.by/documents/W20106199" TargetMode="External"/><Relationship Id="rId43" Type="http://schemas.openxmlformats.org/officeDocument/2006/relationships/hyperlink" Target="https://npa.espot.by/documents/W21832834" TargetMode="External"/><Relationship Id="rId48" Type="http://schemas.openxmlformats.org/officeDocument/2006/relationships/hyperlink" Target="https://npa.espot.by/documents/W20920390?" TargetMode="External"/><Relationship Id="rId8" Type="http://schemas.openxmlformats.org/officeDocument/2006/relationships/hyperlink" Target="http://npa.espot.by/documents/W22137152p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npa.espot.by/documents/H10800356" TargetMode="External"/><Relationship Id="rId17" Type="http://schemas.openxmlformats.org/officeDocument/2006/relationships/hyperlink" Target="http://npa.espot.by/documents/hk9900296" TargetMode="External"/><Relationship Id="rId25" Type="http://schemas.openxmlformats.org/officeDocument/2006/relationships/hyperlink" Target="http://npa.espot.by/documents/W20820209" TargetMode="External"/><Relationship Id="rId33" Type="http://schemas.openxmlformats.org/officeDocument/2006/relationships/hyperlink" Target="http://npa.espot.by/documents/W20820209" TargetMode="External"/><Relationship Id="rId38" Type="http://schemas.openxmlformats.org/officeDocument/2006/relationships/hyperlink" Target="https://npa.espot.by/documents/W22137152p" TargetMode="External"/><Relationship Id="rId46" Type="http://schemas.openxmlformats.org/officeDocument/2006/relationships/hyperlink" Target="https://npa.espot.by/documents/W20820209" TargetMode="External"/><Relationship Id="rId20" Type="http://schemas.openxmlformats.org/officeDocument/2006/relationships/hyperlink" Target="http://npa.espot.by/documents/W20820209" TargetMode="External"/><Relationship Id="rId41" Type="http://schemas.openxmlformats.org/officeDocument/2006/relationships/hyperlink" Target="https://npa.espot.by/documents/hk990029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pot.by/izdaniya/espot/obrazec-zapolneniya-zurnala-uceta-vyd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Петровна Шимко</dc:creator>
  <cp:lastModifiedBy>Светлана Петровна Шимко</cp:lastModifiedBy>
  <cp:revision>1</cp:revision>
  <dcterms:created xsi:type="dcterms:W3CDTF">2026-01-27T12:50:00Z</dcterms:created>
  <dcterms:modified xsi:type="dcterms:W3CDTF">2026-01-27T12:52:00Z</dcterms:modified>
</cp:coreProperties>
</file>